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6998" w14:textId="64DCE30A" w:rsidR="0065048F" w:rsidRPr="00F24FC9" w:rsidRDefault="0065048F" w:rsidP="0065048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>EXPERIENCE PROFESSIONNELLE D</w:t>
      </w:r>
      <w:r w:rsidR="0093097D" w:rsidRPr="00F24FC9">
        <w:rPr>
          <w:rFonts w:ascii="Times New Roman" w:hAnsi="Times New Roman" w:cs="Times New Roman"/>
          <w:b/>
          <w:bCs/>
        </w:rPr>
        <w:t>U CABINET</w:t>
      </w:r>
      <w:r w:rsidRPr="00F24FC9">
        <w:rPr>
          <w:rFonts w:ascii="Times New Roman" w:hAnsi="Times New Roman" w:cs="Times New Roman"/>
          <w:b/>
          <w:bCs/>
        </w:rPr>
        <w:t xml:space="preserve"> FRANCOIS SERRES</w:t>
      </w:r>
    </w:p>
    <w:p w14:paraId="001CBEB8" w14:textId="77777777" w:rsidR="0065048F" w:rsidRPr="00F24FC9" w:rsidRDefault="0065048F" w:rsidP="00846573">
      <w:pPr>
        <w:pStyle w:val="Default"/>
        <w:rPr>
          <w:rFonts w:ascii="Times New Roman" w:hAnsi="Times New Roman" w:cs="Times New Roman"/>
          <w:b/>
          <w:bCs/>
        </w:rPr>
      </w:pPr>
    </w:p>
    <w:p w14:paraId="69CD4BCB" w14:textId="06A5A2CC" w:rsidR="00846573" w:rsidRPr="00F24FC9" w:rsidRDefault="0093097D" w:rsidP="0065048F">
      <w:pPr>
        <w:pStyle w:val="Default"/>
        <w:jc w:val="both"/>
        <w:rPr>
          <w:rFonts w:ascii="Times New Roman" w:hAnsi="Times New Roman" w:cs="Times New Roman"/>
          <w:bCs/>
        </w:rPr>
      </w:pPr>
      <w:r w:rsidRPr="00F24FC9">
        <w:rPr>
          <w:rFonts w:ascii="Times New Roman" w:hAnsi="Times New Roman" w:cs="Times New Roman"/>
          <w:bCs/>
        </w:rPr>
        <w:t xml:space="preserve">Le Cabinet </w:t>
      </w:r>
      <w:r w:rsidR="00846573" w:rsidRPr="00F24FC9">
        <w:rPr>
          <w:rFonts w:ascii="Times New Roman" w:hAnsi="Times New Roman" w:cs="Times New Roman"/>
          <w:bCs/>
        </w:rPr>
        <w:t xml:space="preserve">FRANÇOIS SERRES est un </w:t>
      </w:r>
      <w:r w:rsidRPr="00F24FC9">
        <w:rPr>
          <w:rFonts w:ascii="Times New Roman" w:hAnsi="Times New Roman" w:cs="Times New Roman"/>
          <w:bCs/>
        </w:rPr>
        <w:t>cabinet d’</w:t>
      </w:r>
      <w:r w:rsidR="00846573" w:rsidRPr="00F24FC9">
        <w:rPr>
          <w:rFonts w:ascii="Times New Roman" w:hAnsi="Times New Roman" w:cs="Times New Roman"/>
          <w:bCs/>
        </w:rPr>
        <w:t>avocat</w:t>
      </w:r>
      <w:r w:rsidRPr="00F24FC9">
        <w:rPr>
          <w:rFonts w:ascii="Times New Roman" w:hAnsi="Times New Roman" w:cs="Times New Roman"/>
          <w:bCs/>
        </w:rPr>
        <w:t>s</w:t>
      </w:r>
      <w:r w:rsidR="00846573" w:rsidRPr="00F24FC9">
        <w:rPr>
          <w:rFonts w:ascii="Times New Roman" w:hAnsi="Times New Roman" w:cs="Times New Roman"/>
          <w:bCs/>
        </w:rPr>
        <w:t xml:space="preserve"> international inscrit</w:t>
      </w:r>
      <w:r w:rsidRPr="00F24FC9">
        <w:rPr>
          <w:rFonts w:ascii="Times New Roman" w:hAnsi="Times New Roman" w:cs="Times New Roman"/>
          <w:bCs/>
        </w:rPr>
        <w:t>s</w:t>
      </w:r>
      <w:r w:rsidR="00846573" w:rsidRPr="00F24FC9">
        <w:rPr>
          <w:rFonts w:ascii="Times New Roman" w:hAnsi="Times New Roman" w:cs="Times New Roman"/>
          <w:bCs/>
        </w:rPr>
        <w:t xml:space="preserve"> au Barreau de Paris</w:t>
      </w:r>
      <w:r w:rsidRPr="00F24FC9">
        <w:rPr>
          <w:rFonts w:ascii="Times New Roman" w:hAnsi="Times New Roman" w:cs="Times New Roman"/>
          <w:bCs/>
        </w:rPr>
        <w:t xml:space="preserve">, </w:t>
      </w:r>
      <w:r w:rsidR="00846573" w:rsidRPr="00F24FC9">
        <w:rPr>
          <w:rFonts w:ascii="Times New Roman" w:hAnsi="Times New Roman" w:cs="Times New Roman"/>
          <w:bCs/>
        </w:rPr>
        <w:t xml:space="preserve">avec une </w:t>
      </w:r>
      <w:r w:rsidRPr="00F24FC9">
        <w:rPr>
          <w:rFonts w:ascii="Times New Roman" w:hAnsi="Times New Roman" w:cs="Times New Roman"/>
          <w:bCs/>
        </w:rPr>
        <w:t xml:space="preserve">forte </w:t>
      </w:r>
      <w:r w:rsidR="00846573" w:rsidRPr="00F24FC9">
        <w:rPr>
          <w:rFonts w:ascii="Times New Roman" w:hAnsi="Times New Roman" w:cs="Times New Roman"/>
          <w:bCs/>
        </w:rPr>
        <w:t>expérience dans les PPP depuis la fin des années 1990.</w:t>
      </w:r>
    </w:p>
    <w:p w14:paraId="03E1985F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  <w:bCs/>
        </w:rPr>
      </w:pPr>
    </w:p>
    <w:p w14:paraId="009F2C6A" w14:textId="1D43F33F" w:rsidR="00846573" w:rsidRPr="00F24FC9" w:rsidRDefault="0093097D" w:rsidP="0065048F">
      <w:pPr>
        <w:pStyle w:val="Default"/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</w:rPr>
        <w:t>Le Cabinet intervient</w:t>
      </w:r>
      <w:r w:rsidR="00846573" w:rsidRPr="00F24FC9">
        <w:rPr>
          <w:rFonts w:ascii="Times New Roman" w:hAnsi="Times New Roman" w:cs="Times New Roman"/>
        </w:rPr>
        <w:t xml:space="preserve"> auprès d’institutions internationales, de gouvernements</w:t>
      </w:r>
      <w:r w:rsidRPr="00F24FC9">
        <w:rPr>
          <w:rFonts w:ascii="Times New Roman" w:hAnsi="Times New Roman" w:cs="Times New Roman"/>
        </w:rPr>
        <w:t xml:space="preserve"> </w:t>
      </w:r>
      <w:r w:rsidR="00846573" w:rsidRPr="00F24FC9">
        <w:rPr>
          <w:rFonts w:ascii="Times New Roman" w:hAnsi="Times New Roman" w:cs="Times New Roman"/>
        </w:rPr>
        <w:t>et de clients privés.</w:t>
      </w:r>
    </w:p>
    <w:p w14:paraId="75777EF3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</w:p>
    <w:p w14:paraId="6A470E1A" w14:textId="209C6FA9" w:rsidR="00846573" w:rsidRPr="00F24FC9" w:rsidRDefault="0093097D" w:rsidP="0065048F">
      <w:pPr>
        <w:pStyle w:val="Default"/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</w:rPr>
        <w:t xml:space="preserve">Le cabinet </w:t>
      </w:r>
      <w:r w:rsidR="00846573" w:rsidRPr="00F24FC9">
        <w:rPr>
          <w:rFonts w:ascii="Times New Roman" w:hAnsi="Times New Roman" w:cs="Times New Roman"/>
        </w:rPr>
        <w:t xml:space="preserve">fournit des services de consultation dans de nombreux secteurs (Energie, Infrastructures (rail, ports, autoroutes), Secteurs sociaux, </w:t>
      </w:r>
      <w:r w:rsidR="0015713E">
        <w:rPr>
          <w:rFonts w:ascii="Times New Roman" w:hAnsi="Times New Roman" w:cs="Times New Roman"/>
        </w:rPr>
        <w:t xml:space="preserve">Zones économiques spéciales et </w:t>
      </w:r>
      <w:proofErr w:type="spellStart"/>
      <w:r w:rsidR="0015713E">
        <w:rPr>
          <w:rFonts w:ascii="Times New Roman" w:hAnsi="Times New Roman" w:cs="Times New Roman"/>
        </w:rPr>
        <w:t>Agroparks</w:t>
      </w:r>
      <w:proofErr w:type="spellEnd"/>
      <w:r w:rsidR="00846573" w:rsidRPr="00F24FC9">
        <w:rPr>
          <w:rFonts w:ascii="Times New Roman" w:hAnsi="Times New Roman" w:cs="Times New Roman"/>
        </w:rPr>
        <w:t>, Développement urbain</w:t>
      </w:r>
      <w:r w:rsidRPr="00F24FC9">
        <w:rPr>
          <w:rFonts w:ascii="Times New Roman" w:hAnsi="Times New Roman" w:cs="Times New Roman"/>
        </w:rPr>
        <w:t xml:space="preserve"> et dans</w:t>
      </w:r>
      <w:r w:rsidR="00846573" w:rsidRPr="00F24FC9">
        <w:rPr>
          <w:rFonts w:ascii="Times New Roman" w:hAnsi="Times New Roman" w:cs="Times New Roman"/>
        </w:rPr>
        <w:t xml:space="preserve"> le cadre de projets nécessitant une approche pluri disciplinaire, avec des économistes, des financiers, des techniciens, des régulateurs</w:t>
      </w:r>
      <w:r w:rsidR="00266402" w:rsidRPr="00F24FC9">
        <w:rPr>
          <w:rFonts w:ascii="Times New Roman" w:hAnsi="Times New Roman" w:cs="Times New Roman"/>
        </w:rPr>
        <w:t>.</w:t>
      </w:r>
    </w:p>
    <w:p w14:paraId="42F4E4DF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</w:p>
    <w:p w14:paraId="47FD084B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</w:rPr>
        <w:t>Les services de consultation fournis sont relatifs aux domaines suivants :</w:t>
      </w:r>
    </w:p>
    <w:p w14:paraId="5133F173" w14:textId="77777777" w:rsidR="00846573" w:rsidRPr="00F24FC9" w:rsidRDefault="00846573" w:rsidP="0065048F">
      <w:pPr>
        <w:pStyle w:val="Default"/>
        <w:jc w:val="both"/>
        <w:rPr>
          <w:rFonts w:ascii="Times New Roman" w:hAnsi="Times New Roman" w:cs="Times New Roman"/>
        </w:rPr>
      </w:pPr>
    </w:p>
    <w:p w14:paraId="50C29833" w14:textId="0EE45F8A" w:rsidR="00846573" w:rsidRPr="00F24FC9" w:rsidRDefault="00846573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>Etude</w:t>
      </w:r>
      <w:r w:rsidR="00F24FC9">
        <w:rPr>
          <w:rFonts w:ascii="Times New Roman" w:hAnsi="Times New Roman" w:cs="Times New Roman"/>
          <w:b/>
          <w:bCs/>
        </w:rPr>
        <w:t>s</w:t>
      </w:r>
      <w:r w:rsidRPr="00F24FC9">
        <w:rPr>
          <w:rFonts w:ascii="Times New Roman" w:hAnsi="Times New Roman" w:cs="Times New Roman"/>
          <w:b/>
          <w:bCs/>
        </w:rPr>
        <w:t xml:space="preserve"> diagnostiques : Evaluation sectorielle, cadre de gouvernance, évaluation des systèmes de passation des marchés, de l’environnement économique et sectoriel des PPP</w:t>
      </w:r>
      <w:r w:rsidR="00F24FC9" w:rsidRPr="00F24FC9">
        <w:rPr>
          <w:rFonts w:ascii="Times New Roman" w:hAnsi="Times New Roman" w:cs="Times New Roman"/>
          <w:b/>
          <w:bCs/>
        </w:rPr>
        <w:t> ;</w:t>
      </w:r>
    </w:p>
    <w:p w14:paraId="5455CB0C" w14:textId="34B99885" w:rsidR="00846573" w:rsidRPr="00F24FC9" w:rsidRDefault="00846573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 xml:space="preserve">Elaboration de lois et de cadre institutionnel des </w:t>
      </w:r>
      <w:r w:rsidR="00CF0A68">
        <w:rPr>
          <w:rFonts w:ascii="Times New Roman" w:hAnsi="Times New Roman" w:cs="Times New Roman"/>
          <w:b/>
          <w:bCs/>
        </w:rPr>
        <w:t xml:space="preserve">Marchés Publics et </w:t>
      </w:r>
      <w:r w:rsidRPr="00F24FC9">
        <w:rPr>
          <w:rFonts w:ascii="Times New Roman" w:hAnsi="Times New Roman" w:cs="Times New Roman"/>
          <w:b/>
          <w:bCs/>
        </w:rPr>
        <w:t>PPP</w:t>
      </w:r>
      <w:r w:rsidR="00F24FC9">
        <w:rPr>
          <w:rFonts w:ascii="Times New Roman" w:hAnsi="Times New Roman" w:cs="Times New Roman"/>
          <w:b/>
          <w:bCs/>
        </w:rPr>
        <w:t xml:space="preserve">, Directive UEMOA sur les </w:t>
      </w:r>
      <w:r w:rsidR="00CF0A68">
        <w:rPr>
          <w:rFonts w:ascii="Times New Roman" w:hAnsi="Times New Roman" w:cs="Times New Roman"/>
          <w:b/>
          <w:bCs/>
        </w:rPr>
        <w:t xml:space="preserve">Marchés Publics et sur les </w:t>
      </w:r>
      <w:r w:rsidR="00F24FC9">
        <w:rPr>
          <w:rFonts w:ascii="Times New Roman" w:hAnsi="Times New Roman" w:cs="Times New Roman"/>
          <w:b/>
          <w:bCs/>
        </w:rPr>
        <w:t>PPP</w:t>
      </w:r>
      <w:r w:rsidR="000065E8">
        <w:rPr>
          <w:rFonts w:ascii="Times New Roman" w:hAnsi="Times New Roman" w:cs="Times New Roman"/>
          <w:b/>
          <w:bCs/>
        </w:rPr>
        <w:t>, Cadre réglementaire sectoriel (Energie/Hydrogène)</w:t>
      </w:r>
      <w:r w:rsidR="00F24FC9" w:rsidRPr="00F24FC9">
        <w:rPr>
          <w:rFonts w:ascii="Times New Roman" w:hAnsi="Times New Roman" w:cs="Times New Roman"/>
          <w:b/>
          <w:bCs/>
        </w:rPr>
        <w:t> ;</w:t>
      </w:r>
      <w:r w:rsidRPr="00F24FC9">
        <w:rPr>
          <w:rFonts w:ascii="Times New Roman" w:hAnsi="Times New Roman" w:cs="Times New Roman"/>
        </w:rPr>
        <w:t xml:space="preserve"> </w:t>
      </w:r>
    </w:p>
    <w:p w14:paraId="44C1A5BF" w14:textId="73B0669F" w:rsidR="00F24FC9" w:rsidRPr="00F24FC9" w:rsidRDefault="00F24FC9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>Appui aux Unités PPP (Côte d’Ivoire, Bénin) ;</w:t>
      </w:r>
    </w:p>
    <w:p w14:paraId="7A5B6220" w14:textId="5908B3AF" w:rsidR="00846573" w:rsidRPr="00F24FC9" w:rsidRDefault="00846573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>Etude stratégiques sur la promotion des PPP (UEMOA)</w:t>
      </w:r>
      <w:r w:rsidR="00F24FC9" w:rsidRPr="00F24FC9">
        <w:rPr>
          <w:rFonts w:ascii="Times New Roman" w:hAnsi="Times New Roman" w:cs="Times New Roman"/>
        </w:rPr>
        <w:t> ;</w:t>
      </w:r>
    </w:p>
    <w:p w14:paraId="1ED04C81" w14:textId="6F4D3AB8" w:rsidR="00846573" w:rsidRPr="00F24FC9" w:rsidRDefault="0065048F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>Evaluation des projets PPP, études de faisabilité, définition des schémas contractuels, structuration financière</w:t>
      </w:r>
      <w:r w:rsidR="00937346">
        <w:rPr>
          <w:rFonts w:ascii="Times New Roman" w:hAnsi="Times New Roman" w:cs="Times New Roman"/>
          <w:b/>
          <w:bCs/>
        </w:rPr>
        <w:t>, élaboration des DAO et modèles de contrat</w:t>
      </w:r>
      <w:r w:rsidR="00CF0A68">
        <w:rPr>
          <w:rFonts w:ascii="Times New Roman" w:hAnsi="Times New Roman" w:cs="Times New Roman"/>
          <w:b/>
          <w:bCs/>
        </w:rPr>
        <w:t xml:space="preserve"> (Contrats de performance, Contrats de concession, Contrats de PPP à paiement public)</w:t>
      </w:r>
      <w:r w:rsidR="00F24FC9" w:rsidRPr="00F24FC9">
        <w:rPr>
          <w:rFonts w:ascii="Times New Roman" w:hAnsi="Times New Roman" w:cs="Times New Roman"/>
          <w:b/>
          <w:bCs/>
        </w:rPr>
        <w:t> ;</w:t>
      </w:r>
    </w:p>
    <w:p w14:paraId="3813B37A" w14:textId="37404CC3" w:rsidR="0065048F" w:rsidRPr="00F24FC9" w:rsidRDefault="0065048F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F24FC9">
        <w:rPr>
          <w:rFonts w:ascii="Times New Roman" w:hAnsi="Times New Roman" w:cs="Times New Roman"/>
          <w:b/>
          <w:bCs/>
        </w:rPr>
        <w:t>Conduite de négociations, contractualisation</w:t>
      </w:r>
      <w:r w:rsidR="00F24FC9" w:rsidRPr="00F24FC9">
        <w:rPr>
          <w:rFonts w:ascii="Times New Roman" w:hAnsi="Times New Roman" w:cs="Times New Roman"/>
          <w:b/>
          <w:bCs/>
        </w:rPr>
        <w:t> ;</w:t>
      </w:r>
    </w:p>
    <w:p w14:paraId="66D91527" w14:textId="77777777" w:rsidR="0065048F" w:rsidRPr="00F24FC9" w:rsidRDefault="0065048F" w:rsidP="0065048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4FC9">
        <w:rPr>
          <w:rFonts w:ascii="Times New Roman" w:hAnsi="Times New Roman" w:cs="Times New Roman"/>
          <w:b/>
          <w:bCs/>
        </w:rPr>
        <w:t>Elaboration de modules de formation, Formation</w:t>
      </w:r>
      <w:r w:rsidR="00266402" w:rsidRPr="00F24FC9">
        <w:rPr>
          <w:rFonts w:ascii="Times New Roman" w:hAnsi="Times New Roman" w:cs="Times New Roman"/>
          <w:b/>
          <w:bCs/>
        </w:rPr>
        <w:t>.</w:t>
      </w:r>
      <w:r w:rsidR="00846573" w:rsidRPr="00F24FC9">
        <w:rPr>
          <w:rFonts w:ascii="Times New Roman" w:hAnsi="Times New Roman" w:cs="Times New Roman"/>
          <w:b/>
          <w:bCs/>
        </w:rPr>
        <w:t xml:space="preserve"> </w:t>
      </w:r>
    </w:p>
    <w:p w14:paraId="310D5E19" w14:textId="77777777" w:rsidR="0065048F" w:rsidRPr="00F24FC9" w:rsidRDefault="0065048F" w:rsidP="00846573">
      <w:pPr>
        <w:pStyle w:val="Default"/>
        <w:rPr>
          <w:rFonts w:ascii="Times New Roman" w:hAnsi="Times New Roman" w:cs="Times New Roman"/>
          <w:color w:val="auto"/>
        </w:rPr>
      </w:pPr>
    </w:p>
    <w:p w14:paraId="5821F402" w14:textId="24673754" w:rsidR="00B52927" w:rsidRPr="00F24FC9" w:rsidRDefault="0093097D" w:rsidP="002664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24FC9">
        <w:rPr>
          <w:rFonts w:ascii="Times New Roman" w:hAnsi="Times New Roman" w:cs="Times New Roman"/>
          <w:color w:val="auto"/>
        </w:rPr>
        <w:t xml:space="preserve">Le Cabinet est également </w:t>
      </w:r>
      <w:r w:rsidR="00B52927" w:rsidRPr="00F24FC9">
        <w:rPr>
          <w:rFonts w:ascii="Times New Roman" w:hAnsi="Times New Roman" w:cs="Times New Roman"/>
          <w:color w:val="auto"/>
        </w:rPr>
        <w:t xml:space="preserve">fortement impliqué dans le développement et </w:t>
      </w:r>
      <w:r w:rsidRPr="00F24FC9">
        <w:rPr>
          <w:rFonts w:ascii="Times New Roman" w:hAnsi="Times New Roman" w:cs="Times New Roman"/>
          <w:color w:val="auto"/>
        </w:rPr>
        <w:t>l’</w:t>
      </w:r>
      <w:r w:rsidR="00B52927" w:rsidRPr="00F24FC9">
        <w:rPr>
          <w:rFonts w:ascii="Times New Roman" w:hAnsi="Times New Roman" w:cs="Times New Roman"/>
          <w:color w:val="auto"/>
        </w:rPr>
        <w:t>opérationnalisation de projets de zones</w:t>
      </w:r>
      <w:r w:rsidR="0065048F" w:rsidRPr="00F24FC9">
        <w:rPr>
          <w:rFonts w:ascii="Times New Roman" w:hAnsi="Times New Roman" w:cs="Times New Roman"/>
          <w:color w:val="auto"/>
        </w:rPr>
        <w:t xml:space="preserve"> </w:t>
      </w:r>
      <w:r w:rsidR="00B52927" w:rsidRPr="00F24FC9">
        <w:rPr>
          <w:rFonts w:ascii="Times New Roman" w:hAnsi="Times New Roman" w:cs="Times New Roman"/>
          <w:color w:val="auto"/>
        </w:rPr>
        <w:t>économiques spéciales et d’agropoles</w:t>
      </w:r>
      <w:r w:rsidRPr="00F24FC9">
        <w:rPr>
          <w:rFonts w:ascii="Times New Roman" w:hAnsi="Times New Roman" w:cs="Times New Roman"/>
          <w:color w:val="auto"/>
        </w:rPr>
        <w:t>.</w:t>
      </w:r>
    </w:p>
    <w:p w14:paraId="4CDC71D5" w14:textId="77777777" w:rsidR="00F24FC9" w:rsidRPr="00F24FC9" w:rsidRDefault="00F24FC9" w:rsidP="00266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DE393E" w14:textId="67170822" w:rsidR="00F24FC9" w:rsidRP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Cadre stratégique (Sénégal, Afrique centrale, Madagascar</w:t>
      </w:r>
      <w:r w:rsidR="00392E2B">
        <w:rPr>
          <w:rFonts w:ascii="Times New Roman" w:hAnsi="Times New Roman" w:cs="Times New Roman"/>
          <w:b/>
          <w:bCs/>
          <w:color w:val="auto"/>
        </w:rPr>
        <w:t>, Côte d’Ivoire, Corridor Abidjan Ouaga, Corridor Abidjan Lagos</w:t>
      </w:r>
      <w:r w:rsidRPr="00F24FC9">
        <w:rPr>
          <w:rFonts w:ascii="Times New Roman" w:hAnsi="Times New Roman" w:cs="Times New Roman"/>
          <w:b/>
          <w:bCs/>
          <w:color w:val="auto"/>
        </w:rPr>
        <w:t>) ;</w:t>
      </w:r>
    </w:p>
    <w:p w14:paraId="058BD1DE" w14:textId="3CC9F617" w:rsidR="00F24FC9" w:rsidRP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Législations sur les ZES (Sénégal, Guinée, Madagascar, Burundi</w:t>
      </w:r>
      <w:r w:rsidR="00392E2B">
        <w:rPr>
          <w:rFonts w:ascii="Times New Roman" w:hAnsi="Times New Roman" w:cs="Times New Roman"/>
          <w:b/>
          <w:bCs/>
          <w:color w:val="auto"/>
        </w:rPr>
        <w:t>, RDC</w:t>
      </w:r>
      <w:r w:rsidRPr="00F24FC9">
        <w:rPr>
          <w:rFonts w:ascii="Times New Roman" w:hAnsi="Times New Roman" w:cs="Times New Roman"/>
          <w:b/>
          <w:bCs/>
          <w:color w:val="auto"/>
        </w:rPr>
        <w:t>) ;</w:t>
      </w:r>
    </w:p>
    <w:p w14:paraId="1BF65E23" w14:textId="7C40177F" w:rsidR="00F24FC9" w:rsidRP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Etude des faisabilité (Sénégal, Madagascar, Côte d’Ivoire</w:t>
      </w:r>
      <w:r w:rsidR="00392E2B">
        <w:rPr>
          <w:rFonts w:ascii="Times New Roman" w:hAnsi="Times New Roman" w:cs="Times New Roman"/>
          <w:b/>
          <w:bCs/>
          <w:color w:val="auto"/>
        </w:rPr>
        <w:t>, Cameroun</w:t>
      </w:r>
      <w:r w:rsidRPr="00F24FC9">
        <w:rPr>
          <w:rFonts w:ascii="Times New Roman" w:hAnsi="Times New Roman" w:cs="Times New Roman"/>
          <w:b/>
          <w:bCs/>
          <w:color w:val="auto"/>
        </w:rPr>
        <w:t>) ;</w:t>
      </w:r>
    </w:p>
    <w:p w14:paraId="2BEB50BE" w14:textId="5488C4B6" w:rsid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Cadre de gouvernance (Sénégal, Mauritanie</w:t>
      </w:r>
      <w:r w:rsidR="00392E2B">
        <w:rPr>
          <w:rFonts w:ascii="Times New Roman" w:hAnsi="Times New Roman" w:cs="Times New Roman"/>
          <w:b/>
          <w:bCs/>
          <w:color w:val="auto"/>
        </w:rPr>
        <w:t>, RDC</w:t>
      </w:r>
      <w:r w:rsidRPr="00F24FC9">
        <w:rPr>
          <w:rFonts w:ascii="Times New Roman" w:hAnsi="Times New Roman" w:cs="Times New Roman"/>
          <w:b/>
          <w:bCs/>
          <w:color w:val="auto"/>
        </w:rPr>
        <w:t>) ;</w:t>
      </w:r>
    </w:p>
    <w:p w14:paraId="0784B8D1" w14:textId="00DD72E2" w:rsidR="00392E2B" w:rsidRPr="00F24FC9" w:rsidRDefault="00392E2B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Développement de projets/Investissements/Due diligence (Angola, Togo, RDC) ;</w:t>
      </w:r>
    </w:p>
    <w:p w14:paraId="47001F33" w14:textId="0E5C691F" w:rsidR="00F24FC9" w:rsidRDefault="00F24FC9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F24FC9">
        <w:rPr>
          <w:rFonts w:ascii="Times New Roman" w:hAnsi="Times New Roman" w:cs="Times New Roman"/>
          <w:b/>
          <w:bCs/>
          <w:color w:val="auto"/>
        </w:rPr>
        <w:t>Négociations contractuelles et Revue des contrats (Sénégal, République du Congo)</w:t>
      </w:r>
    </w:p>
    <w:p w14:paraId="1F0C1DE3" w14:textId="2844CD6D" w:rsidR="00392E2B" w:rsidRPr="00F24FC9" w:rsidRDefault="00392E2B" w:rsidP="00F24F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Formation (UNECA for Zone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Cemac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et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Afrexim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Bank (Zone Afrique Australe)</w:t>
      </w:r>
    </w:p>
    <w:p w14:paraId="34BB52EE" w14:textId="77777777" w:rsidR="00846573" w:rsidRPr="00F24FC9" w:rsidRDefault="00846573" w:rsidP="002664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846573" w:rsidRPr="00F2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8124B"/>
    <w:multiLevelType w:val="hybridMultilevel"/>
    <w:tmpl w:val="7C22A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03F15"/>
    <w:multiLevelType w:val="hybridMultilevel"/>
    <w:tmpl w:val="9C562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26F0"/>
    <w:multiLevelType w:val="hybridMultilevel"/>
    <w:tmpl w:val="108AE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7901">
    <w:abstractNumId w:val="2"/>
  </w:num>
  <w:num w:numId="2" w16cid:durableId="515387651">
    <w:abstractNumId w:val="0"/>
  </w:num>
  <w:num w:numId="3" w16cid:durableId="17743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73"/>
    <w:rsid w:val="000065E8"/>
    <w:rsid w:val="0015713E"/>
    <w:rsid w:val="00266402"/>
    <w:rsid w:val="00392E2B"/>
    <w:rsid w:val="0065048F"/>
    <w:rsid w:val="007342BF"/>
    <w:rsid w:val="008029F2"/>
    <w:rsid w:val="00846573"/>
    <w:rsid w:val="0093097D"/>
    <w:rsid w:val="00937346"/>
    <w:rsid w:val="00B52927"/>
    <w:rsid w:val="00CF0A68"/>
    <w:rsid w:val="00F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E36C"/>
  <w15:chartTrackingRefBased/>
  <w15:docId w15:val="{78368336-5F8D-4DF0-AC55-532036C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46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francois SERRES</cp:lastModifiedBy>
  <cp:revision>2</cp:revision>
  <dcterms:created xsi:type="dcterms:W3CDTF">2024-11-11T15:31:00Z</dcterms:created>
  <dcterms:modified xsi:type="dcterms:W3CDTF">2024-11-11T15:31:00Z</dcterms:modified>
</cp:coreProperties>
</file>